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2012/204 vom 23. Juli 2014</w:t>
      </w:r>
    </w:p>
    <w:p>
      <w:r>
        <w:t>Sg Versicherungsgericht, 2014-07-23, DE</w:t>
      </w:r>
    </w:p>
    <w:p>
      <w:r>
        <w:rPr>
          <w:b/>
        </w:rPr>
        <w:t xml:space="preserve">Quelle: </w:t>
      </w:r>
      <w:r>
        <w:t>https://mcp.opencaselaw.ch/entscheid/sg_publikationen_IV 2012_204</w:t>
      </w:r>
    </w:p>
    <w:p>
      <w:r>
        <w:t>FR: SG_VERSICHERUNGSGERICHT IV 2012/204 du 23 juillet 2014</w:t>
      </w:r>
    </w:p>
    <w:p>
      <w:r>
        <w:t>IT: SG_VERSICHERUNGSGERICHT IV 2012/204 del 23 luglio 2014</w:t>
      </w:r>
    </w:p>
    <w:p>
      <w:pPr>
        <w:pStyle w:val="Heading2"/>
      </w:pPr>
      <w:r>
        <w:t>Regeste</w:t>
      </w:r>
    </w:p>
    <w:p>
      <w:r>
        <w:t>Art. 28 IVG, Art. 17 ATSG. Revisionsweise Rentenaufhebung. Aufgrund des fortgeschrittenen Alters und weiterer Umstände ist dem Beschwerdeführer eine Selbsteingliederung nicht zumutbar. Vor der verfügten Rentenaufhebung nahm die IV-Stelle keine Eingliederungsbemühungen vor. Bei diesem Ergebnis wäre es grundsätzlich angezeigt, die Sache zur Abklärung von Eingliederungsmassnahmen und allfälliger Durchführung des Mahn- und Bedenkzeitverfahrens an die Beschwerdegegnerin zurückzuweisen. Darauf ist mangels realistischer Verwertbarkeit der Restarbeitsfähigkeit zu verzichten. Weiterhin ganzer Rentenanspruch (Entscheid des Versicherungsgerichts des Kantons St. Gallen vom 23. Juli 2014, IV 2012/204).</w:t>
      </w:r>
    </w:p>
    <w:p>
      <w:pPr>
        <w:pStyle w:val="Heading2"/>
      </w:pPr>
      <w:r>
        <w:t>Erwägungen</w:t>
      </w:r>
    </w:p>
    <w:p>
      <w:r>
        <w:rPr>
          <w:b/>
        </w:rPr>
        <w:t>E. 1</w:t>
      </w:r>
    </w:p>
    <w:p>
      <w:r>
        <w:t>Zwischen den Parteien umstritten und nachfolgend zu prüfen ist die Frage, ob die Beschwerdegegnerin den Rentenanspruch zu Recht per anfangs Juni 2012 aufgehoben hat.</w:t>
      </w:r>
    </w:p>
    <w:p>
      <w:r>
        <w:rPr>
          <w:b/>
        </w:rPr>
        <w:t>E. 2</w:t>
      </w:r>
    </w:p>
    <w:p>
      <w:r>
        <w:t>Vorliegend kann offen bleiben, ob die Beschwerdegegnerin den Sachverhalt rechts­genüglich abgeklärt hat. Denn selbst wenn mit der Beschwerdegegnerin davon aus­gegangen würde, das (zweite) ABI-Gutachten vom 13. Dezember 2010 sei beweiskräftig und es sei infolge eines verbesserten Gesundheitszustands von einer 100%igen Arbeitsfähigkeit für leidensangepasste Tätigkeiten auszugehen, ist die angefochtene Revisionsverfügung aus eingliederungsrechtlichem Blickwinkel aufzuheben. 2.1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2.2   Ändert sich der Invaliditätsgrad einer rentenbeziehenden Person erheblich, so wird die Rente von Amtes wegen oder auf Gesuch hin für die Zukunft entsprechend erhöht, herabgesetzt oder aufgehoben (Art. 17 Abs. 1 ATSG). Eine Invaliditätsbemessung nach Art. 16 ATSG setzt auch im Revisionsfall (Art. 17 Abs. 1 ATSG) voraus, dass angezeigte Eingliederungsmassnahmen durchgeführt worden sind. In der Regel zieht der anspruchserhebliche Zugewinn an Leistungsfähigkeit kaum zusätzlichen Eingliederungsbedarf nach sich. Hingegen ist der Ausnahmetatbestand der Notwendigkeit (vorgängiger) befähigender beruflicher Massnahmen als erfüllt zu betrachten, wenn die Herabsetzung oder Aufhebung der Invalidenrente eine versicherte Person betrifft, die das 55. Altersjahr zurückgelegt oder die Rente seit mehr als 15 Jahren bezogen hat (Urteil des Bundesgerichts vom 30. November 2013, 9C_497/2013, E. 3.2.1 mit Hinweisen). 2.3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(Art. 21 Abs. 4 ATSG). 2.4   Im Zeitpunkt der per 1. Juni 2012 verfügten Rentenaufhebung (act. G 5.2.199) war der Beschwerdeführer bereits 59 Jahre alt. Eine Berufsausbildung hatte er nicht absolviert. Seine schulische Ausbildung beschränkt sich auf den Besuch der 8-jährigen Grundschule im ehemaligen Jugoslawien (act. G 5.2.1-4). Seit April 1998 geht er keiner Arbeit mehr nach (act. G 5.2.81-4 und G 5.2.9-2). Zuvor war er als ungelernter Bauarbeiter tätig (act. G 5.2.9-1). Mit Wirkung ab 1. April 1999 wurde ihm eine ganze Rente zugesprochen (Verfügung vom 11. Mai 2000, act. G 5.2.40). Der Beschwerdeführer kann vor diesem Hintergrund nicht (mehr) auf eine unter den heute herrschenden Verhältnissen aktualisierbare berufliche Erfahrung zurückgreifen, die für die Selbsteingliederung nutzbar wäre. Bereits im Gutachten der Klinik Valens vom 10. April 2006 wurde die Prognose betreffend einer auch nur teilweisen Rückkehr an den Arbeitsmarkt als "infaust" bezeichnet (act. G 5.2.81-25). Die ABI-Experten hielten berufliche Massnahmen - nebst der Krankheitsüberzeugung - aufgrund der Entwöhnung von der Arbeit, der geringen Bildung sowie der fehlenden Berufsausbildung nicht für empfehlenswert (act. G 5.2.143-24). Ergänzend ist darauf hinzuweisen, dass die Beschwerdegegnerin den höchstzulässigen Tabellenlohnabzug von 25% bei der Bestimmung des Invalideneinkommens gewährte und damit selber davon ausging, der Beschwerdeführer werde auf dem allgemeinen Arbeitsmarkt mit erheblichen (Lohn-)Nachteilen konfrontiert. Im Licht dieser Umstände ist die Zumutbarkeit einer (erfolgreichen) Selbsteingliederung zu verneinen, womit sich die Rentenaufhebung ohne vorherige Durchführung von Eingliederungsbemühungen als unzulässig erweist. Daran ändert nichts, dass der Beschwerdeführer anlässlich des mit der Eingliederungsverantwortlichen - erst nach Erlass der angefochtenen Verfügung - stattgefundenen Gesprächs mitgeteilt habe, er fühle sich in keiner Hinsicht arbeitsfähig, und die Beschwerdegegnerin die berufliche Eingliederung abschloss (Schlussbericht der beruflichen Eingliederung vom 16. Mai 2012, act. G 5.2.204; vgl. auch Mitteilung vom 25. Mai 2012, act. G 5.2.207). Denn abgesehen davon, dass vor verfügter Rentenaufhebung keine Eingliederungsbemühungen durch die Beschwerdegegnerin ergriffen wurden, ist vor der Rentenaufhebung bei fehlender Eingliederungsbereitschaft im Fall unzumutbarer Selbsteingliederung zwingend das Mahn- und Bedenkzeitverfahren gemäss Art. 21 Abs. 4 ATSG durchzuführen (vgl. vorstehende E. 2.3 sowie Urteil des Bundesgerichts vom 30. November 2013, 9C_497/2013, E. 3.2.2). 2.5   Bei diesem Ergebnis wäre es grundsätzlich angezeigt, die Sache zur Abklärung von Eingliederungsmassnahmen und allfälliger Durchführung des Mahn- und Bedenkzeitverfahrens an die Beschwerdegegnerin zurückzuweisen. Angesichts des Alters des Beschwerdeführers (geboren 195_) und der übrigen genannten Umstände (vgl. E. 2.4) erübrigt sich die Rückweisung: Im Zeitpunkt, in dem das Eingliederungsverfahren samt eingliederungsbezogener Abklärung - allenfalls nach Durchführung des Mahn- und Bedenkzeitverfahrens - abgeschlossen wäre, würde dem bereits heute über 60-jährigen Beschwerdeführer höchstens noch eine Aktivitätsdauer von rund drei Jahren verbleiben. Deshalb und unter Berücksichtigung der einer realistischen Verwertbarkeit entgegenstehenden Verhältnisse (siehe vorstehende E. 2.4) ist - selbst wenn auf die umstrittene, von den ABI-Experten bescheinigte 100%ige Arbeitsfähigkeit für leidensangepasste Tätigkeiten abgestellt würde - von einer vollständigen Erwerbsunfähigkeit auszugehen (vgl. Urteil des Bundesgerichts vom 6. Mai 2014, 9C_751/2013, E. 4.5). Der Beschwerdeführer hat damit über den 31. Mai 2012 hinaus Anspruch auf eine ganze Rente.</w:t>
      </w:r>
    </w:p>
    <w:p>
      <w:r>
        <w:rPr>
          <w:b/>
        </w:rPr>
        <w:t>E. 3</w:t>
      </w:r>
    </w:p>
    <w:p>
      <w:r>
        <w:t>3.1   In Gutheissung der Beschwerde ist die Verfügung vom 24. April 2012 aufzuheben. 3.2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3.3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Parteientschädigung entsprechend der vom Rechtsvertreter eingereichten Honorarnote (act. G 12) von Fr. 3'133.60 (einschliesslich Barauslagen und Mehrwertsteuer) als angemessen. Bei diesem Ausgang erübrigt sich die Festlegung einer Entschädigung aus der gewährten unentgeltlichen Rechstverbeiständung. Demgemäss hat das Versicherungsgericht im Zirkulationsverfahren gemäss Art. 39 VRP entschieden: 1.    In Gutheissung der Beschwerde wird die Verfügung vom 24. April 2012 aufgehoben. 2.      Die Beschwerdegegnerin bezahlt eine Gerichtsgebühr von Fr. 600.--. 3.      Die Beschwerdegegnerin hat dem Beschwerdeführer eine Parteientschädigung von Fr. 3'133.60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